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ind w:firstLine="539" w:left="0" w:right="0"/>
        <w:jc w:val="both"/>
      </w:pPr>
      <w:bookmarkStart w:id="0" w:name="_GoBack"/>
      <w:bookmarkEnd w:id="0"/>
      <w:r>
        <w:rPr>
          <w:rFonts w:ascii="Times New Roman" w:cs="Times New Roman" w:hAnsi="Times New Roman"/>
          <w:b w:val="false"/>
          <w:szCs w:val="22"/>
        </w:rPr>
        <w:t xml:space="preserve">27 ноября 2018 года был принят Федеральный закон № 422-ФЗ                          «О проведении эксперимента по установлению специального налогового режима «Налог на профессиональный доход».     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 xml:space="preserve"> </w:t>
      </w:r>
      <w:r>
        <w:rPr>
          <w:rFonts w:ascii="Times New Roman" w:cs="Times New Roman" w:hAnsi="Times New Roman"/>
          <w:szCs w:val="22"/>
        </w:rPr>
        <w:t>Эксперимент проводится до 31 декабря 2028 года включительно.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 xml:space="preserve"> </w:t>
      </w:r>
      <w:r>
        <w:rPr>
          <w:rFonts w:ascii="Times New Roman" w:cs="Times New Roman" w:hAnsi="Times New Roman"/>
          <w:szCs w:val="22"/>
        </w:rPr>
        <w:t>В течение десяти лет проведения эксперимента не могут вноситься изменения в части увеличения налоговых ставок и (или) уменьшения предельного размера доходов.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Общие положения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Применять специальный налоговый режим «Налог на профессиональный доход» (далее - НПД)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Физические лица при применении НПД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b/>
          <w:szCs w:val="22"/>
        </w:rPr>
        <w:t xml:space="preserve">Профессиональный доход - </w:t>
      </w:r>
      <w:r>
        <w:rPr>
          <w:rFonts w:ascii="Times New Roman" w:cs="Times New Roman" w:hAnsi="Times New Roman"/>
          <w:szCs w:val="22"/>
        </w:rPr>
        <w:t>доход физических лиц от деятельности, при ведении которой они не имеют работодателя</w:t>
      </w:r>
      <w:r>
        <w:rPr>
          <w:rFonts w:ascii="Times New Roman" w:cs="Times New Roman" w:hAnsi="Times New Roman"/>
          <w:b/>
          <w:szCs w:val="22"/>
        </w:rPr>
        <w:t xml:space="preserve"> и не привлекают наемных работников по трудовым договорам, </w:t>
      </w:r>
      <w:r>
        <w:rPr>
          <w:rFonts w:ascii="Times New Roman" w:cs="Times New Roman" w:hAnsi="Times New Roman"/>
          <w:szCs w:val="22"/>
        </w:rPr>
        <w:t>а также доход от использования имущества</w:t>
      </w:r>
      <w:r>
        <w:rPr>
          <w:rFonts w:ascii="Times New Roman" w:cs="Times New Roman" w:hAnsi="Times New Roman"/>
          <w:b/>
          <w:szCs w:val="22"/>
        </w:rPr>
        <w:t>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b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 (далее - налог).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Мобильное приложение «Мой налог»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 xml:space="preserve">Мобильное приложение «Мой налог» - программное обеспечение Федеральной налоговой службы Российской Федерации, 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«Интернет». 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3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3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Налогоплательщики налога на профессиональный доход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Налогоплательщиками налога на профессиональный доход (далее - налогоплательщики) признаются физические лица, в том числе индивидуальные предприниматели, перешедшие на НПД в порядке, установленном законодательством.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</w:r>
    </w:p>
    <w:tbl>
      <w:tblPr>
        <w:jc w:val="left"/>
        <w:tblInd w:type="dxa" w:w="-108"/>
        <w:tblBorders/>
      </w:tblPr>
      <w:tblGrid>
        <w:gridCol w:w="7204"/>
      </w:tblGrid>
      <w:tr>
        <w:trPr>
          <w:trHeight w:hRule="atLeast" w:val="701"/>
          <w:cantSplit w:val="false"/>
        </w:trPr>
        <w:tc>
          <w:tcPr>
            <w:tcW w:type="dxa" w:w="720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120"/>
              <w:ind w:firstLine="539" w:left="0" w:right="0"/>
            </w:pPr>
            <w:bookmarkStart w:id="1" w:name="P81"/>
            <w:bookmarkEnd w:id="1"/>
            <w:r>
              <w:rPr>
                <w:rFonts w:ascii="Times New Roman" w:cs="Times New Roman" w:hAnsi="Times New Roman"/>
                <w:szCs w:val="22"/>
              </w:rPr>
              <w:t xml:space="preserve">       </w:t>
            </w:r>
            <w:r>
              <w:rPr>
                <w:rFonts w:ascii="Times New Roman" w:cs="Times New Roman" w:hAnsi="Times New Roman"/>
                <w:b/>
                <w:szCs w:val="22"/>
              </w:rPr>
              <w:t>Не вправе применять НПД:</w:t>
            </w:r>
          </w:p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szCs w:val="22"/>
              </w:rPr>
              <w:t>1) лица, осуществляющие реализацию подакцизных товаров и товаров, подлежащих обязательной маркировке;</w:t>
            </w:r>
          </w:p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szCs w:val="22"/>
              </w:rPr>
              <w:t>2) лица, осуществляющие перепродажу товаров, имущественных прав, за исключением товаров собственного производства;</w:t>
            </w:r>
          </w:p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szCs w:val="22"/>
              </w:rPr>
              <w:t>3) лица, занимающиеся добычей и (или) реализацией полезных ископаемых;</w:t>
            </w:r>
          </w:p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szCs w:val="22"/>
              </w:rPr>
              <w:t>4) лица, имеющие работников, с которыми они состоят в трудовых отношениях;</w:t>
            </w:r>
          </w:p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szCs w:val="22"/>
              </w:rPr>
      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договоров;</w:t>
            </w:r>
          </w:p>
          <w:p>
            <w:pPr>
              <w:pStyle w:val="style22"/>
              <w:ind w:firstLine="539" w:left="0" w:right="0"/>
              <w:jc w:val="both"/>
            </w:pPr>
            <w:bookmarkStart w:id="2" w:name="P87"/>
            <w:bookmarkEnd w:id="2"/>
            <w:r>
              <w:rPr>
                <w:rFonts w:ascii="Times New Roman" w:cs="Times New Roman" w:hAnsi="Times New Roman"/>
                <w:szCs w:val="22"/>
              </w:rPr>
      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зарегистрированной продавцом товаров контрольно-кассовой техники при расчетах с покупателями;</w:t>
            </w:r>
          </w:p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szCs w:val="22"/>
              </w:rPr>
              <w:t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      </w:r>
          </w:p>
          <w:p>
            <w:pPr>
              <w:pStyle w:val="style22"/>
              <w:ind w:firstLine="539" w:left="0" w:right="0"/>
              <w:jc w:val="both"/>
            </w:pPr>
            <w:bookmarkStart w:id="3" w:name="P89"/>
            <w:bookmarkEnd w:id="3"/>
            <w:r>
              <w:rPr>
                <w:rFonts w:ascii="Times New Roman" w:cs="Times New Roman" w:hAnsi="Times New Roman"/>
                <w:szCs w:val="22"/>
              </w:rPr>
              <w:t xml:space="preserve">8) налогоплательщики, у которых доходы, учитываемые при определении налоговой базы, превысили в текущем календарном году </w:t>
            </w:r>
            <w:r>
              <w:rPr>
                <w:rFonts w:ascii="Times New Roman" w:cs="Times New Roman" w:hAnsi="Times New Roman"/>
                <w:szCs w:val="22"/>
                <w:u w:val="single"/>
              </w:rPr>
              <w:t>2,4 миллиона рублей.</w:t>
            </w:r>
          </w:p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b/>
                <w:szCs w:val="22"/>
              </w:rPr>
              <w:t xml:space="preserve">Нельзя применять НПД </w:t>
            </w:r>
            <w:r>
              <w:rPr>
                <w:rFonts w:ascii="Times New Roman" w:cs="Times New Roman" w:hAnsi="Times New Roman"/>
                <w:szCs w:val="22"/>
              </w:rPr>
              <w:t>к доходам от действующего или бывшего работодателя, полученным по гражданско-правовому договору, если со дня увольнения прошло менее 2 лет.</w:t>
            </w:r>
          </w:p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szCs w:val="22"/>
              </w:rPr>
              <w:t xml:space="preserve">Индивидуальный предприниматель, применяющий упрощенную систему налогообложения или единый сельскохозяйственный налог должен в течение 1 месяца со дня регистрации для применения НПД, уведомить налоговую инспекцию о прекращении применения соответствующего спецрежима (в противном случае регистрация по применению НПД аннулируется).  </w:t>
            </w:r>
          </w:p>
          <w:p>
            <w:pPr>
              <w:pStyle w:val="style22"/>
              <w:spacing w:after="0" w:before="120"/>
              <w:ind w:firstLine="539" w:left="0" w:right="0"/>
            </w:pPr>
            <w:r>
              <w:rPr>
                <w:rFonts w:ascii="Times New Roman" w:cs="Times New Roman" w:hAnsi="Times New Roman"/>
                <w:b/>
                <w:sz w:val="2"/>
                <w:szCs w:val="2"/>
              </w:rPr>
            </w:r>
          </w:p>
        </w:tc>
      </w:tr>
    </w:tbl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Порядок и условия начала </w:t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и прекращения применения НПД</w:t>
      </w:r>
    </w:p>
    <w:p>
      <w:pPr>
        <w:pStyle w:val="style22"/>
        <w:spacing w:after="0" w:before="120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Физические лица, в том числе индивидуальные предприниматели, изъявившие желание перейти на НПД, обязаны встать на учет в налоговом органе в качестве налогоплательщика.</w:t>
      </w:r>
    </w:p>
    <w:p>
      <w:pPr>
        <w:pStyle w:val="style22"/>
        <w:spacing w:after="0" w:before="120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учет, сведений из паспорта гражданина Российской Федерации и фотографии физического лица.</w:t>
      </w:r>
    </w:p>
    <w:p>
      <w:pPr>
        <w:pStyle w:val="style22"/>
        <w:spacing w:after="0" w:before="120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 xml:space="preserve"> </w:t>
      </w:r>
      <w:r>
        <w:rPr>
          <w:rFonts w:ascii="Times New Roman" w:cs="Times New Roman" w:hAnsi="Times New Roman"/>
          <w:szCs w:val="22"/>
        </w:rPr>
        <w:t>Для граждан Российской Федерации, воспользовавшихся доступом к личному кабинету налогоплательщика для постановки на учет в налоговом органе в качестве налогоплательщика, представление сведений из паспорта гражданина Российской Федерации, фотографии физического лица не требуется.</w:t>
      </w:r>
    </w:p>
    <w:p>
      <w:pPr>
        <w:pStyle w:val="style22"/>
        <w:spacing w:after="0" w:before="120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Заявление о постановке на учет, сведения из паспорта гражданина Российской Федерации, фотография физического лица формируются с использованием мобильного приложения «Мой налог».</w:t>
      </w:r>
    </w:p>
    <w:p>
      <w:pPr>
        <w:pStyle w:val="style22"/>
        <w:spacing w:after="0" w:before="120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Граждане Российской Федерации и граждане других государств -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(или) снятии с учета. В таком случае соответствующее заявление представляется с применением усиленной квалифицированной электронной подписи кредитной организации. При этом фотография физического лица не представляется.</w:t>
      </w:r>
    </w:p>
    <w:p>
      <w:pPr>
        <w:pStyle w:val="style22"/>
        <w:spacing w:after="0" w:before="120"/>
        <w:ind w:firstLine="539" w:left="0" w:right="0"/>
        <w:jc w:val="both"/>
      </w:pPr>
      <w:bookmarkStart w:id="4" w:name="P98"/>
      <w:bookmarkEnd w:id="4"/>
      <w:r>
        <w:rPr>
          <w:rFonts w:ascii="Times New Roman" w:cs="Times New Roman" w:hAnsi="Times New Roman"/>
          <w:szCs w:val="22"/>
        </w:rPr>
        <w:t>Датой постановки на учет физического лица в качестве налогоплательщика является дата направления в налоговый орган</w:t>
      </w:r>
      <w:r>
        <w:rPr>
          <w:rFonts w:ascii="Times New Roman" w:cs="Times New Roman" w:hAnsi="Times New Roman"/>
          <w:sz w:val="24"/>
          <w:szCs w:val="24"/>
        </w:rPr>
        <w:t xml:space="preserve"> соответствующего заявления.</w:t>
      </w:r>
    </w:p>
    <w:p>
      <w:pPr>
        <w:pStyle w:val="style22"/>
        <w:ind w:firstLine="539" w:left="0" w:right="0"/>
        <w:jc w:val="both"/>
      </w:pPr>
      <w:bookmarkStart w:id="5" w:name="P103"/>
      <w:bookmarkEnd w:id="5"/>
      <w:r>
        <w:rPr>
          <w:rFonts w:ascii="Times New Roman" w:cs="Times New Roman" w:hAnsi="Times New Roman"/>
          <w:szCs w:val="22"/>
        </w:rPr>
        <w:t>Снятие налогоплательщика с учета в налоговом органе осуществляется в случае отказа от применения специального налогового режима при представлении в налоговый орган через мобильное приложение «Мой налог» заявления о снятии с учета.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Датой снятия физического лица с учета в качестве налогоплательщика является дата направления в налоговый орган заявления о снятии с учета.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налогу, задолженности по пеням и штрафам по налогу.</w:t>
      </w:r>
    </w:p>
    <w:p>
      <w:pPr>
        <w:pStyle w:val="style23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Объект налогообложения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Объектом налогообложения признаются доходы от реализации товаров (работ, услуг, имущественных прав).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  <w:u w:val="single"/>
        </w:rPr>
        <w:t>Не признаются объектом налогообложения налогом на профессиональный доход доходы: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1) получаемые в рамках трудовых отношений;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2) от продажи недвижимого имущества, транспортных средств;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3) от передачи имущественных прав на недвижимое имущество (за исключением аренды (найма) жилых помещений);</w:t>
      </w:r>
    </w:p>
    <w:p>
      <w:pPr>
        <w:pStyle w:val="style22"/>
        <w:tabs>
          <w:tab w:leader="none" w:pos="851" w:val="left"/>
        </w:tabs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4) государственных и муниципальных служащих, за исключением доходов от сдачи в аренду (наем) жилых помещений;</w:t>
      </w:r>
    </w:p>
    <w:p>
      <w:pPr>
        <w:pStyle w:val="style22"/>
        <w:ind w:firstLine="539" w:left="0" w:right="0"/>
      </w:pPr>
      <w:r>
        <w:rPr>
          <w:rFonts w:ascii="Times New Roman" w:cs="Times New Roman" w:hAnsi="Times New Roman"/>
          <w:i/>
          <w:sz w:val="20"/>
        </w:rPr>
        <w:t>5) от продажи имущества, использовавшегося налогоплательщиками для личных, домашних и (или) иных подобных нужд;</w:t>
      </w:r>
    </w:p>
    <w:p>
      <w:pPr>
        <w:pStyle w:val="style22"/>
        <w:ind w:firstLine="539" w:left="0" w:right="0"/>
      </w:pPr>
      <w:r>
        <w:rPr>
          <w:rFonts w:ascii="Times New Roman" w:cs="Times New Roman" w:hAnsi="Times New Roman"/>
          <w:i/>
          <w:sz w:val="20"/>
        </w:rPr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9) от уступки (переуступки) прав требований;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10) в натуральной форме;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i/>
          <w:sz w:val="20"/>
        </w:rPr>
        <w:t>11)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Порядок признания доходов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Датой получения доходов от реализации товаров (работ, услуг, имущественных прав)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Налоговая база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Налоговая база определяется отдельно по видам доходов, в отношении которых установлены различные налоговые ставки.</w:t>
      </w:r>
    </w:p>
    <w:p>
      <w:pPr>
        <w:pStyle w:val="style22"/>
        <w:spacing w:after="0" w:before="220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В целях определения налоговой базы доходы учитываются нарастающим итогом с начала налогового периода.</w:t>
      </w:r>
    </w:p>
    <w:p>
      <w:pPr>
        <w:pStyle w:val="style22"/>
        <w:spacing w:after="0" w:before="220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В случае возврата налогоплательщиком сумм, ранее полученных в счет оплаты (предварительной оплаты) товаров (работ, услуг, имущественных прав), на сумму возврата уменьшаются доходы того налогового периода, в котором получен доход.</w:t>
      </w:r>
    </w:p>
    <w:p>
      <w:pPr>
        <w:pStyle w:val="style22"/>
        <w:spacing w:after="0" w:before="220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Налогоплательщик вправе провести корректировку ранее переданных налоговому органу сведений о сумме расчетов, приводящих к завышению сумм налога, подлежащих уплате, в случае возврата денежных средств, полученных в счет оплаты (предварительной оплаты) товаров (работ, услуг, имущественных прав), или некорректного ввода таких сведений при представлении через мобильное приложение «Мой налог» или уполномоченных операторов электронных площадок и (или) уполномоченные кредитные организации пояснений с указанием причин такой корректировки.</w:t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Налоговый период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Налоговым периодом признается календарный месяц.</w:t>
      </w:r>
    </w:p>
    <w:p>
      <w:pPr>
        <w:pStyle w:val="style22"/>
        <w:spacing w:after="0" w:before="220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месяца, следующего за месяцем, в котором оно поставлено на учет.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Налоговые ставки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Налоговые ставки устанавливаются в следующих размерах:</w:t>
      </w:r>
    </w:p>
    <w:p>
      <w:pPr>
        <w:pStyle w:val="style22"/>
        <w:spacing w:after="0" w:before="120"/>
        <w:ind w:firstLine="539" w:left="0" w:right="0"/>
        <w:jc w:val="both"/>
      </w:pPr>
      <w:bookmarkStart w:id="6" w:name="P155"/>
      <w:bookmarkEnd w:id="6"/>
      <w:r>
        <w:rPr>
          <w:rFonts w:ascii="Times New Roman" w:cs="Times New Roman" w:hAnsi="Times New Roman"/>
          <w:szCs w:val="22"/>
        </w:rPr>
        <w:t>1) 4 % в отношении доходов, полученных налогоплательщиками от реализации товаров (работ, услуг, имущественных прав) физическим лицам;</w:t>
      </w:r>
    </w:p>
    <w:p>
      <w:pPr>
        <w:pStyle w:val="style22"/>
        <w:spacing w:after="0" w:before="120"/>
        <w:ind w:firstLine="539" w:left="0" w:right="0"/>
        <w:jc w:val="both"/>
      </w:pPr>
      <w:bookmarkStart w:id="7" w:name="P156"/>
      <w:bookmarkEnd w:id="7"/>
      <w:r>
        <w:rPr>
          <w:rFonts w:ascii="Times New Roman" w:cs="Times New Roman" w:hAnsi="Times New Roman"/>
          <w:szCs w:val="22"/>
        </w:rPr>
        <w:t>2) 6 %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3"/>
        <w:ind w:firstLine="540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Порядок исчисления и уплаты налога</w:t>
      </w:r>
    </w:p>
    <w:p>
      <w:pPr>
        <w:pStyle w:val="style22"/>
        <w:spacing w:after="0" w:before="220"/>
        <w:ind w:firstLine="540" w:left="0" w:right="0"/>
        <w:jc w:val="both"/>
      </w:pPr>
      <w:bookmarkStart w:id="8" w:name="P161"/>
      <w:bookmarkEnd w:id="8"/>
      <w:r>
        <w:rPr>
          <w:rFonts w:ascii="Times New Roman" w:cs="Times New Roman" w:hAnsi="Times New Roman"/>
          <w:szCs w:val="22"/>
        </w:rPr>
        <w:t xml:space="preserve">Налоговый орган уведомляет налогоплательщика через мобильное приложение «Мой налог»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необходимых для уплаты налога. </w:t>
      </w:r>
    </w:p>
    <w:p>
      <w:pPr>
        <w:pStyle w:val="style22"/>
        <w:spacing w:after="0" w:before="220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В случае, если сумма налога, подлежащая уплате по итогам налогового периода, составляет менее 100 рублей, указанная сумма добавляется к сумме налога, подлежащей уплате по итогам следующего налогового периода.</w:t>
      </w:r>
    </w:p>
    <w:p>
      <w:pPr>
        <w:pStyle w:val="style22"/>
        <w:spacing w:after="0" w:before="220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>
      <w:pPr>
        <w:pStyle w:val="style22"/>
        <w:spacing w:after="0" w:before="220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В случае, если обязанность налогоплательщика по уплате налога не исполнена в установленный срок, налоговый орган не позднее десяти календарных дней со дня истечения срока уплаты направляет налогоплательщику через мобильное приложение «Мой налог» требование об уплате налога с указанием мер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3"/>
        <w:ind w:firstLine="540" w:left="0" w:right="0"/>
        <w:jc w:val="center"/>
      </w:pPr>
      <w:bookmarkStart w:id="9" w:name="P167"/>
      <w:bookmarkEnd w:id="9"/>
      <w:r>
        <w:rPr>
          <w:rFonts w:ascii="Times New Roman" w:cs="Times New Roman" w:hAnsi="Times New Roman"/>
          <w:sz w:val="24"/>
          <w:szCs w:val="24"/>
        </w:rPr>
        <w:t>Налоговый вычет</w:t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40" w:left="0" w:right="0"/>
        <w:jc w:val="both"/>
      </w:pPr>
      <w:bookmarkStart w:id="10" w:name="P169"/>
      <w:bookmarkEnd w:id="10"/>
      <w:r>
        <w:rPr>
          <w:rFonts w:ascii="Times New Roman" w:cs="Times New Roman" w:hAnsi="Times New Roman"/>
          <w:szCs w:val="22"/>
        </w:rPr>
        <w:t>Лица, применяющие специальный налоговый режим, имеют право на уменьшение суммы налога на сумму налогового вычета в размере не более 10 000 рублей, рассчитанную нарастающим итогом.</w:t>
      </w:r>
    </w:p>
    <w:p>
      <w:pPr>
        <w:pStyle w:val="style22"/>
        <w:ind w:firstLine="539" w:left="0" w:right="0"/>
        <w:jc w:val="both"/>
      </w:pPr>
      <w:bookmarkStart w:id="11" w:name="P171"/>
      <w:bookmarkEnd w:id="11"/>
      <w:r>
        <w:rPr>
          <w:rFonts w:ascii="Times New Roman" w:cs="Times New Roman" w:hAnsi="Times New Roman"/>
          <w:szCs w:val="22"/>
        </w:rPr>
        <w:t>В начале применения НПД сумма, подлежащая уплате в качестве налога. Автоматически уменьшается на сумму налогового вычета в размере 10 000 рублей посредством уменьшения налоговой ставки:</w:t>
      </w:r>
    </w:p>
    <w:p>
      <w:pPr>
        <w:pStyle w:val="style22"/>
        <w:ind w:firstLine="539" w:left="0" w:right="0"/>
        <w:jc w:val="center"/>
      </w:pPr>
      <w:r>
        <w:rPr>
          <w:rFonts w:ascii="Times New Roman" w:cs="Times New Roman" w:hAnsi="Times New Roman"/>
          <w:szCs w:val="22"/>
        </w:rPr>
        <w:t>на 1% при исчислении налога по ставке 4%;</w:t>
      </w:r>
    </w:p>
    <w:p>
      <w:pPr>
        <w:pStyle w:val="style22"/>
        <w:ind w:firstLine="539" w:left="0" w:right="0"/>
        <w:jc w:val="center"/>
      </w:pPr>
      <w:r>
        <w:rPr>
          <w:rFonts w:ascii="Times New Roman" w:cs="Times New Roman" w:hAnsi="Times New Roman"/>
          <w:szCs w:val="22"/>
        </w:rPr>
        <w:t>на 2% при исчислении налога по ставке 6%;</w:t>
      </w:r>
    </w:p>
    <w:p>
      <w:pPr>
        <w:pStyle w:val="style22"/>
        <w:ind w:firstLine="539" w:left="0" w:right="0"/>
        <w:jc w:val="center"/>
      </w:pPr>
      <w:r>
        <w:rPr>
          <w:rFonts w:ascii="Times New Roman" w:cs="Times New Roman" w:hAnsi="Times New Roman"/>
          <w:szCs w:val="22"/>
        </w:rPr>
      </w:r>
    </w:p>
    <w:p>
      <w:pPr>
        <w:pStyle w:val="style22"/>
        <w:ind w:firstLine="539" w:left="0" w:right="0"/>
        <w:jc w:val="both"/>
      </w:pPr>
      <w:bookmarkStart w:id="12" w:name="P174"/>
      <w:bookmarkEnd w:id="12"/>
      <w:r>
        <w:rPr>
          <w:rFonts w:ascii="Times New Roman" w:cs="Times New Roman" w:hAnsi="Times New Roman"/>
          <w:szCs w:val="22"/>
        </w:rPr>
        <w:t>В случае, если физическое лицо снято с учета в качестве налогоплательщика, а впоследствии вновь поставлено на учет в качестве налогоплательщика, остаток неиспользованного налогового вычета восстанавливается. Налоговый вычет после его использования повторно не предоставляется.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Уменьшение суммы налога на сумму налогового вычета осуществляется налоговым органом самостоятельно.</w:t>
      </w:r>
    </w:p>
    <w:p>
      <w:pPr>
        <w:pStyle w:val="style23"/>
        <w:ind w:firstLine="539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Налоговая декларация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Налоговая декларация по налогу в налоговые органы не представляется.</w:t>
      </w:r>
    </w:p>
    <w:p>
      <w:pPr>
        <w:pStyle w:val="style23"/>
        <w:ind w:firstLine="539" w:left="0" w:right="0"/>
        <w:jc w:val="both"/>
      </w:pPr>
      <w:bookmarkStart w:id="13" w:name="P186"/>
      <w:bookmarkEnd w:id="13"/>
      <w:r>
        <w:rPr>
          <w:rFonts w:ascii="Times New Roman" w:cs="Times New Roman" w:hAnsi="Times New Roman"/>
          <w:sz w:val="24"/>
          <w:szCs w:val="24"/>
        </w:rPr>
        <w:t>Порядок передачи сведений при произведении расчетов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использованием 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</w:t>
      </w:r>
    </w:p>
    <w:p>
      <w:pPr>
        <w:pStyle w:val="style22"/>
        <w:spacing w:after="0" w:before="220"/>
        <w:ind w:firstLine="540" w:left="0" w:right="0"/>
        <w:jc w:val="both"/>
      </w:pPr>
      <w:r>
        <w:rPr>
          <w:rFonts w:ascii="Times New Roman" w:cs="Times New Roman" w:hAnsi="Times New Roman"/>
          <w:szCs w:val="22"/>
        </w:rPr>
        <w:t>Чек должен быть сформирован налогоплательщиком и передан покупателю (заказчику) в момент расчета наличными денежными средствами и (или) с использованием электронных средств платежа.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Чек может быть передан покупателю (заказчику) в электронной форме или на бумажном носителе.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В электронной форме чек может быть передан следующими способами: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1) путем направления чека покупателю (заказчику) на абонентский номер или адрес электронной почты, представленные покупателем (заказчиком);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 w:val="14"/>
          <w:szCs w:val="14"/>
        </w:rPr>
      </w:r>
    </w:p>
    <w:p>
      <w:pPr>
        <w:pStyle w:val="style22"/>
        <w:ind w:firstLine="539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Особенности уплаты страховых взносов</w:t>
      </w:r>
    </w:p>
    <w:p>
      <w:pPr>
        <w:pStyle w:val="style22"/>
        <w:ind w:firstLine="539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при применении НПД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>Физические лица, применяющие налог на  профессиональный доход, не </w:t>
      </w:r>
      <w:r>
        <w:rPr>
          <w:rFonts w:ascii="Times New Roman" w:cs="Times New Roman" w:hAnsi="Times New Roman"/>
          <w:color w:val="000000"/>
          <w:szCs w:val="22"/>
        </w:rPr>
        <w:t>обязаны делать отчисления на пенсионное страхование и формируют свою пенсию самостоятельно, в том числе за счет добровольных взносов.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color w:val="000000"/>
          <w:szCs w:val="22"/>
        </w:rPr>
        <w:t xml:space="preserve">Физические лица, применяющее НПД, </w:t>
      </w:r>
      <w:r>
        <w:rPr>
          <w:rFonts w:ascii="Times New Roman" w:cs="Times New Roman" w:hAnsi="Times New Roman"/>
          <w:b/>
          <w:bCs/>
          <w:color w:val="000000"/>
          <w:szCs w:val="22"/>
        </w:rPr>
        <w:t xml:space="preserve">могут делать добровольные отчисления на свою пенсию </w:t>
      </w:r>
      <w:r>
        <w:rPr>
          <w:rFonts w:ascii="Times New Roman" w:cs="Times New Roman" w:hAnsi="Times New Roman"/>
          <w:color w:val="000000"/>
          <w:szCs w:val="22"/>
        </w:rPr>
        <w:t>через </w:t>
      </w:r>
      <w:hyperlink r:id="rId2">
        <w:r>
          <w:rPr>
            <w:rStyle w:val="style16"/>
            <w:rFonts w:ascii="Times New Roman" w:cs="Times New Roman" w:hAnsi="Times New Roman"/>
            <w:color w:val="000000"/>
            <w:szCs w:val="22"/>
          </w:rPr>
          <w:t>мобильное приложение «Мой налог»</w:t>
        </w:r>
      </w:hyperlink>
      <w:r>
        <w:rPr>
          <w:rFonts w:ascii="Times New Roman" w:cs="Times New Roman" w:hAnsi="Times New Roman"/>
          <w:color w:val="000000"/>
          <w:szCs w:val="22"/>
        </w:rPr>
        <w:t>. Приложение также позволяет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color w:val="000000"/>
          <w:szCs w:val="22"/>
        </w:rPr>
        <w:tab/>
        <w:t>Перечислять взносы можно через приложение. Заявление о постановке на учет плательщика добровольных взносов также принимается через </w:t>
      </w:r>
      <w:hyperlink r:id="rId3">
        <w:r>
          <w:rPr>
            <w:rStyle w:val="style16"/>
            <w:rFonts w:ascii="Times New Roman" w:cs="Times New Roman" w:hAnsi="Times New Roman"/>
            <w:color w:val="000000"/>
            <w:szCs w:val="22"/>
          </w:rPr>
          <w:t>личный кабинет</w:t>
        </w:r>
      </w:hyperlink>
      <w:r>
        <w:rPr>
          <w:rFonts w:ascii="Times New Roman" w:cs="Times New Roman" w:hAnsi="Times New Roman"/>
          <w:color w:val="000000"/>
          <w:szCs w:val="22"/>
        </w:rPr>
        <w:t> на сайте Пенсионного фонда.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color w:val="000000"/>
          <w:szCs w:val="22"/>
        </w:rPr>
        <w:tab/>
        <w:t xml:space="preserve">После регистрации в приложении </w:t>
      </w:r>
      <w:r>
        <w:rPr>
          <w:rFonts w:ascii="Times New Roman" w:cs="Times New Roman" w:hAnsi="Times New Roman"/>
          <w:szCs w:val="22"/>
        </w:rPr>
        <w:t>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ab/>
      </w:r>
      <w:r>
        <w:rPr>
          <w:rFonts w:ascii="Times New Roman" w:cs="Times New Roman" w:hAnsi="Times New Roman"/>
          <w:bCs/>
          <w:szCs w:val="22"/>
        </w:rPr>
        <w:t>Платить взносы можно двумя способами: перечислить сразу всю сумму за год или делать небольшие периодические отчисления.</w:t>
      </w:r>
      <w:r>
        <w:rPr>
          <w:rFonts w:ascii="Times New Roman" w:cs="Times New Roman" w:hAnsi="Times New Roman"/>
          <w:b/>
          <w:bCs/>
          <w:szCs w:val="22"/>
        </w:rPr>
        <w:t xml:space="preserve"> </w:t>
      </w:r>
      <w:r>
        <w:rPr>
          <w:rFonts w:ascii="Times New Roman" w:cs="Times New Roman" w:hAnsi="Times New Roman"/>
          <w:szCs w:val="22"/>
        </w:rPr>
        <w:t>При уплате страховых взносов в размере фиксированного платежа в страховой стаж засчитывается один год.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Cs w:val="22"/>
        </w:rPr>
        <w:tab/>
        <w:t>В случае уплаты страховых взносов ниже фиксированной суммы в стаж будет засчитан период, пропорциональный сделанному платежу.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 xml:space="preserve"> </w:t>
      </w:r>
    </w:p>
    <w:tbl>
      <w:tblPr>
        <w:jc w:val="left"/>
        <w:tblInd w:type="dxa" w:w="-108"/>
        <w:tblBorders/>
      </w:tblPr>
      <w:tblGrid>
        <w:gridCol w:w="7083"/>
      </w:tblGrid>
      <w:tr>
        <w:trPr>
          <w:cantSplit w:val="false"/>
        </w:trPr>
        <w:tc>
          <w:tcPr>
            <w:tcW w:type="dxa" w:w="7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firstLine="539" w:left="0" w:right="0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целях подтверждения постановки на учет в качестве налогоплательщика НПД, а также получения информации о сумме полученных доходов, облагаемых НПД, в мобильном приложении "Мой налог" и в веб-кабинете "Мой налог", размещенном на сайте www.npd.nalog.ru, реализована возможность формирования в электронной форме подписанных электронной подписью ФНС России справок о постановке на учет (снятии с учета) физического лица в качестве налогоплательщика НПД (КНД 1122035), а также справка о состоянии расчетов (доходах) по указанному налогу (КНД 1122036).</w:t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</w:tbl>
    <w:p>
      <w:pPr>
        <w:pStyle w:val="style22"/>
        <w:ind w:firstLine="53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Преимущества налога на профессиональный доход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Не требуется устанавливать контрольно-кассовую технику;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Низкие налоговые ставки (4% или 6%);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Простая регистрация, все взаимодействия с налоговым органом осуществляется онлайн;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Возможность расширить клиентскую базу за счет новых клиентов, которые привыкли работать официально;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Предоставляется налоговый вычет (10 000 рублей);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Ставка не будет меняться до 31 декабря 2028 года;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Не должны подготавливать и сдавать налоговую отчетность, декларации. 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Отсутствие других обязательных платежей – не нужно уплачивать НДФЛ и НДС, нет обязательных страховых взносов.</w:t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14"/>
          <w:szCs w:val="14"/>
        </w:rPr>
      </w:r>
    </w:p>
    <w:p>
      <w:pPr>
        <w:pStyle w:val="style22"/>
        <w:ind w:firstLine="53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Можно совмещать с работой по трудовому договору.</w:t>
      </w:r>
    </w:p>
    <w:p>
      <w:pPr>
        <w:pStyle w:val="style22"/>
        <w:ind w:firstLine="539" w:left="0" w:right="0"/>
        <w:jc w:val="both"/>
      </w:pPr>
      <w:r>
        <w:rPr/>
      </w:r>
    </w:p>
    <w:sectPr>
      <w:type w:val="nextPage"/>
      <w:pgSz w:h="11906" w:orient="landscape" w:w="16838"/>
      <w:pgMar w:bottom="709" w:footer="0" w:gutter="0" w:header="0" w:left="851" w:right="851" w:top="709"/>
      <w:pgNumType w:fmt="decimal"/>
      <w:cols w:equalWidth="true" w:num="2" w:sep="true" w:space="708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PlusNormal"/>
    <w:next w:val="style22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color w:val="auto"/>
      <w:sz w:val="22"/>
      <w:szCs w:val="20"/>
      <w:lang w:bidi="ar-SA" w:eastAsia="ru-RU" w:val="ru-RU"/>
    </w:rPr>
  </w:style>
  <w:style w:styleId="style23" w:type="paragraph">
    <w:name w:val="ConsPlusTitle"/>
    <w:next w:val="style23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b/>
      <w:color w:val="auto"/>
      <w:sz w:val="22"/>
      <w:szCs w:val="20"/>
      <w:lang w:bidi="ar-SA" w:eastAsia="ru-RU" w:val="ru-RU"/>
    </w:rPr>
  </w:style>
  <w:style w:styleId="style24" w:type="paragraph">
    <w:name w:val="ConsPlusTitlePage"/>
    <w:next w:val="style2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ahoma" w:cs="Tahoma" w:eastAsia="Times New Roman" w:hAnsi="Tahoma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pd.nalog.ru/app" TargetMode="External"/><Relationship Id="rId3" Type="http://schemas.openxmlformats.org/officeDocument/2006/relationships/hyperlink" Target="https://es.pfrf.ru/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2021-11-09T14:09:00.00Z</dcterms:created>
  <dc:creator>Р амиля</dc:creator>
  <cp:lastModifiedBy>ИКАСО4</cp:lastModifiedBy>
  <cp:lastPrinted>2021-11-09T08:19:00.00Z</cp:lastPrinted>
  <dcterms:modified xsi:type="dcterms:W3CDTF">2021-11-09T14:09:00.00Z</dcterms:modified>
  <cp:revision>2</cp:revision>
</cp:coreProperties>
</file>